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D0" w:rsidRDefault="00CE09D0" w:rsidP="00EB7D78">
      <w:pPr>
        <w:jc w:val="center"/>
        <w:outlineLvl w:val="0"/>
        <w:rPr>
          <w:b/>
          <w:sz w:val="28"/>
          <w:szCs w:val="28"/>
        </w:rPr>
      </w:pPr>
    </w:p>
    <w:p w:rsidR="00CE09D0" w:rsidRDefault="00CE09D0" w:rsidP="00AA7BB3">
      <w:pPr>
        <w:outlineLvl w:val="0"/>
      </w:pPr>
      <w:r w:rsidRPr="00AA7BB3">
        <w:t>Maestría en Pedagogía</w:t>
      </w:r>
    </w:p>
    <w:p w:rsidR="00CE09D0" w:rsidRDefault="00CE09D0" w:rsidP="00AA7BB3">
      <w:pPr>
        <w:outlineLvl w:val="0"/>
      </w:pPr>
      <w:r>
        <w:t>Facultad de Filosofía y Humanidades</w:t>
      </w:r>
    </w:p>
    <w:p w:rsidR="00CE09D0" w:rsidRDefault="00CE09D0" w:rsidP="00AA7BB3">
      <w:pPr>
        <w:outlineLvl w:val="0"/>
      </w:pPr>
      <w:r>
        <w:t>Universidad Nacional de Córdoba</w:t>
      </w:r>
    </w:p>
    <w:p w:rsidR="00CE09D0" w:rsidRPr="00AA7BB3" w:rsidRDefault="00CE09D0" w:rsidP="00AA7BB3">
      <w:pPr>
        <w:outlineLvl w:val="0"/>
      </w:pPr>
    </w:p>
    <w:p w:rsidR="00CE09D0" w:rsidRDefault="00CE09D0" w:rsidP="00EB7D78">
      <w:pPr>
        <w:jc w:val="center"/>
        <w:outlineLvl w:val="0"/>
        <w:rPr>
          <w:b/>
          <w:sz w:val="28"/>
          <w:szCs w:val="28"/>
        </w:rPr>
      </w:pPr>
    </w:p>
    <w:p w:rsidR="00CE09D0" w:rsidRDefault="00CE09D0" w:rsidP="00EB7D78">
      <w:pPr>
        <w:jc w:val="center"/>
        <w:outlineLvl w:val="0"/>
        <w:rPr>
          <w:b/>
          <w:sz w:val="28"/>
          <w:szCs w:val="28"/>
        </w:rPr>
      </w:pPr>
      <w:r w:rsidRPr="000459F3">
        <w:rPr>
          <w:b/>
          <w:sz w:val="28"/>
          <w:szCs w:val="28"/>
        </w:rPr>
        <w:t xml:space="preserve">Estudios Antropológicos de </w:t>
      </w:r>
      <w:smartTag w:uri="urn:schemas-microsoft-com:office:smarttags" w:element="PersonName">
        <w:smartTagPr>
          <w:attr w:name="ProductID" w:val="la Interacci￳n"/>
        </w:smartTagPr>
        <w:r w:rsidRPr="000459F3">
          <w:rPr>
            <w:b/>
            <w:sz w:val="28"/>
            <w:szCs w:val="28"/>
          </w:rPr>
          <w:t>la Interacción</w:t>
        </w:r>
      </w:smartTag>
      <w:r w:rsidRPr="000459F3">
        <w:rPr>
          <w:b/>
          <w:sz w:val="28"/>
          <w:szCs w:val="28"/>
        </w:rPr>
        <w:t xml:space="preserve"> en el Aula</w:t>
      </w:r>
    </w:p>
    <w:p w:rsidR="00CE09D0" w:rsidRPr="00BA128F" w:rsidRDefault="00CE09D0" w:rsidP="00EB7D78">
      <w:pPr>
        <w:jc w:val="center"/>
        <w:outlineLvl w:val="0"/>
      </w:pPr>
      <w:r w:rsidRPr="00BA128F">
        <w:t>Mayo de 2016</w:t>
      </w:r>
    </w:p>
    <w:p w:rsidR="00CE09D0" w:rsidRDefault="00CE09D0" w:rsidP="00EB7D78">
      <w:pPr>
        <w:jc w:val="center"/>
      </w:pPr>
    </w:p>
    <w:p w:rsidR="00CE09D0" w:rsidRPr="00863A94" w:rsidRDefault="00CE09D0" w:rsidP="00EB7D78">
      <w:pPr>
        <w:jc w:val="both"/>
        <w:outlineLvl w:val="0"/>
      </w:pPr>
    </w:p>
    <w:p w:rsidR="00CE09D0" w:rsidRPr="00863A94" w:rsidRDefault="00CE09D0" w:rsidP="00EB7D78">
      <w:pPr>
        <w:jc w:val="both"/>
        <w:outlineLvl w:val="0"/>
      </w:pPr>
    </w:p>
    <w:p w:rsidR="00CE09D0" w:rsidRDefault="00CE09D0" w:rsidP="00EB7D78">
      <w:pPr>
        <w:jc w:val="both"/>
        <w:outlineLvl w:val="0"/>
      </w:pPr>
      <w:r w:rsidRPr="00863A94">
        <w:t xml:space="preserve">Docentes: </w:t>
      </w:r>
    </w:p>
    <w:p w:rsidR="00CE09D0" w:rsidRDefault="00CE09D0" w:rsidP="00EB7D78">
      <w:pPr>
        <w:jc w:val="both"/>
      </w:pPr>
      <w:r>
        <w:t>Mgtr. Mónica Maldonado y Dra. Silvia Servetto</w:t>
      </w:r>
    </w:p>
    <w:p w:rsidR="00CE09D0" w:rsidRPr="007E2BE2" w:rsidRDefault="00CE09D0" w:rsidP="00EB7D78">
      <w:pPr>
        <w:jc w:val="both"/>
      </w:pPr>
    </w:p>
    <w:p w:rsidR="00CE09D0" w:rsidRPr="000459F3" w:rsidRDefault="00CE09D0" w:rsidP="00EB7D78">
      <w:pPr>
        <w:jc w:val="both"/>
        <w:outlineLvl w:val="0"/>
        <w:rPr>
          <w:b/>
          <w:lang w:val="es-ES"/>
        </w:rPr>
      </w:pPr>
      <w:r w:rsidRPr="000459F3">
        <w:rPr>
          <w:b/>
          <w:lang w:val="es-ES"/>
        </w:rPr>
        <w:t>Fundamentación</w:t>
      </w:r>
    </w:p>
    <w:p w:rsidR="00CE09D0" w:rsidRDefault="00CE09D0" w:rsidP="00EB7D78">
      <w:pPr>
        <w:jc w:val="both"/>
        <w:rPr>
          <w:lang w:val="es-ES"/>
        </w:rPr>
      </w:pPr>
    </w:p>
    <w:p w:rsidR="00CE09D0" w:rsidRPr="00704FC6" w:rsidRDefault="00CE09D0" w:rsidP="00EB7D78">
      <w:pPr>
        <w:jc w:val="both"/>
        <w:rPr>
          <w:lang w:val="es-ES"/>
        </w:rPr>
      </w:pPr>
      <w:r w:rsidRPr="00704FC6">
        <w:rPr>
          <w:lang w:val="es-ES"/>
        </w:rPr>
        <w:t>El presente programa tiene como objetivo poner al alcance de los maestrandos producciones, discusiones y preocupaciones desplegadas por la investigación etnográfica sobre las interacciones en el aula, entendiendo el “aula” como un campo de estudio que no es autónomo, que involucra a la escuela, las condiciones sociales, las diferencias culturales e identitarias, entre los aspectos más relevantes.</w:t>
      </w:r>
    </w:p>
    <w:p w:rsidR="00CE09D0" w:rsidRPr="00704FC6" w:rsidRDefault="00CE09D0" w:rsidP="00EB7D78">
      <w:pPr>
        <w:jc w:val="both"/>
        <w:rPr>
          <w:lang w:val="es-ES"/>
        </w:rPr>
      </w:pPr>
    </w:p>
    <w:p w:rsidR="00CE09D0" w:rsidRDefault="00CE09D0" w:rsidP="00EB7D78">
      <w:pPr>
        <w:jc w:val="both"/>
        <w:rPr>
          <w:lang w:val="es-ES"/>
        </w:rPr>
      </w:pPr>
      <w:r>
        <w:rPr>
          <w:lang w:val="es-ES"/>
        </w:rPr>
        <w:t xml:space="preserve">De ninguna forma se pretende armar un cuadro exhaustivo de las investigaciones que involucran interacciones en la escuela, sino que el recorte busca familiarizar a los cursantes con  algunos textos clásicos trabajados por los investigadores del campo y a la vez intenta ponerlos en contacto con algunas investigaciones nuevas de interesante desarrollo. </w:t>
      </w:r>
    </w:p>
    <w:p w:rsidR="00CE09D0" w:rsidRDefault="00CE09D0" w:rsidP="00EB7D78">
      <w:pPr>
        <w:jc w:val="both"/>
        <w:rPr>
          <w:lang w:val="es-ES"/>
        </w:rPr>
      </w:pPr>
    </w:p>
    <w:p w:rsidR="00CE09D0" w:rsidRDefault="00CE09D0" w:rsidP="00EB7D78">
      <w:pPr>
        <w:jc w:val="both"/>
        <w:rPr>
          <w:lang w:val="es-ES"/>
        </w:rPr>
      </w:pPr>
      <w:r>
        <w:rPr>
          <w:lang w:val="es-ES"/>
        </w:rPr>
        <w:t xml:space="preserve">Recuperar los aportes de la teoría social y especialmente del interaccionismo simbólico será parte de los insumos necesarios a tener presentes para reflexionar, cuestionar y discutir con los autores de los textos seleccionados y el grupo de cursantes. </w:t>
      </w:r>
    </w:p>
    <w:p w:rsidR="00CE09D0" w:rsidRDefault="00CE09D0" w:rsidP="00EB7D78">
      <w:pPr>
        <w:jc w:val="both"/>
        <w:rPr>
          <w:lang w:val="es-ES"/>
        </w:rPr>
      </w:pPr>
    </w:p>
    <w:p w:rsidR="00CE09D0" w:rsidRDefault="00CE09D0" w:rsidP="00EB7D78">
      <w:pPr>
        <w:jc w:val="both"/>
        <w:rPr>
          <w:lang w:val="es-ES"/>
        </w:rPr>
      </w:pPr>
    </w:p>
    <w:p w:rsidR="00CE09D0" w:rsidRPr="000459F3" w:rsidRDefault="00CE09D0" w:rsidP="00EB7D78">
      <w:pPr>
        <w:jc w:val="both"/>
        <w:outlineLvl w:val="0"/>
        <w:rPr>
          <w:b/>
          <w:lang w:val="es-ES"/>
        </w:rPr>
      </w:pPr>
      <w:r w:rsidRPr="000459F3">
        <w:rPr>
          <w:b/>
          <w:lang w:val="es-ES"/>
        </w:rPr>
        <w:t>Contenidos</w:t>
      </w:r>
    </w:p>
    <w:p w:rsidR="00CE09D0" w:rsidRDefault="00CE09D0" w:rsidP="00EB7D78">
      <w:pPr>
        <w:jc w:val="both"/>
        <w:rPr>
          <w:lang w:val="es-ES"/>
        </w:rPr>
      </w:pPr>
    </w:p>
    <w:p w:rsidR="00CE09D0" w:rsidRDefault="00CE09D0" w:rsidP="00CA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>
        <w:rPr>
          <w:lang w:val="es-ES"/>
        </w:rPr>
        <w:t>Bloque 1</w:t>
      </w:r>
    </w:p>
    <w:p w:rsidR="00CE09D0" w:rsidRDefault="00CE09D0" w:rsidP="00EB7D78">
      <w:pPr>
        <w:jc w:val="both"/>
        <w:rPr>
          <w:lang w:val="es-ES"/>
        </w:rPr>
      </w:pPr>
    </w:p>
    <w:p w:rsidR="00CE09D0" w:rsidRDefault="00CE09D0" w:rsidP="00EB7D78">
      <w:pPr>
        <w:jc w:val="both"/>
        <w:rPr>
          <w:lang w:val="es-ES"/>
        </w:rPr>
      </w:pPr>
      <w:r w:rsidRPr="00704FC6">
        <w:rPr>
          <w:lang w:val="es-ES"/>
        </w:rPr>
        <w:t>Aportes conceptuales de la antropología, el interaccionismo simbólico y la educación</w:t>
      </w:r>
      <w:r>
        <w:rPr>
          <w:lang w:val="es-ES"/>
        </w:rPr>
        <w:t xml:space="preserve"> para pensar el aula y</w:t>
      </w:r>
      <w:r w:rsidRPr="00B96A89">
        <w:rPr>
          <w:lang w:val="es-ES"/>
        </w:rPr>
        <w:t xml:space="preserve"> </w:t>
      </w:r>
      <w:r>
        <w:rPr>
          <w:lang w:val="es-ES"/>
        </w:rPr>
        <w:t>la escuela.</w:t>
      </w:r>
    </w:p>
    <w:p w:rsidR="00CE09D0" w:rsidRPr="00B96A89" w:rsidRDefault="00CE09D0" w:rsidP="00EB7D78">
      <w:pPr>
        <w:jc w:val="both"/>
        <w:rPr>
          <w:lang w:val="es-ES"/>
        </w:rPr>
      </w:pPr>
      <w:r>
        <w:rPr>
          <w:lang w:val="es-ES"/>
        </w:rPr>
        <w:t>Las interacciones escolares en contexto. Lo que no se “ve” en la interacción.</w:t>
      </w:r>
      <w:r w:rsidRPr="00B96A89">
        <w:rPr>
          <w:rFonts w:ascii="Arial" w:hAnsi="Arial"/>
        </w:rPr>
        <w:t xml:space="preserve"> </w:t>
      </w:r>
      <w:r>
        <w:t>Dimensiones</w:t>
      </w:r>
      <w:r w:rsidRPr="00B96A89">
        <w:t xml:space="preserve"> e interrogantes</w:t>
      </w:r>
      <w:r>
        <w:t xml:space="preserve"> desde la etnografía de la educación.</w:t>
      </w:r>
    </w:p>
    <w:p w:rsidR="00CE09D0" w:rsidRPr="00B96A89" w:rsidRDefault="00CE09D0" w:rsidP="00EB7D78">
      <w:pPr>
        <w:jc w:val="both"/>
        <w:rPr>
          <w:rFonts w:ascii="Arial" w:hAnsi="Arial" w:cs="Arial"/>
          <w:lang w:val="es-ES"/>
        </w:rPr>
      </w:pPr>
    </w:p>
    <w:p w:rsidR="00CE09D0" w:rsidRDefault="00CE09D0" w:rsidP="00EB7D78">
      <w:pPr>
        <w:jc w:val="both"/>
        <w:outlineLvl w:val="0"/>
      </w:pPr>
      <w:r>
        <w:t xml:space="preserve">Bibliografía </w:t>
      </w:r>
    </w:p>
    <w:p w:rsidR="00CE09D0" w:rsidRDefault="00CE09D0" w:rsidP="00EB7D78">
      <w:pPr>
        <w:jc w:val="both"/>
      </w:pPr>
    </w:p>
    <w:p w:rsidR="00CE09D0" w:rsidRPr="00B633C1" w:rsidRDefault="00CE09D0" w:rsidP="00EB7D78">
      <w:pPr>
        <w:numPr>
          <w:ilvl w:val="0"/>
          <w:numId w:val="10"/>
        </w:numPr>
        <w:jc w:val="both"/>
        <w:rPr>
          <w:lang w:val="es-ES"/>
        </w:rPr>
      </w:pPr>
      <w:r w:rsidRPr="00B633C1">
        <w:rPr>
          <w:lang w:val="es-ES"/>
        </w:rPr>
        <w:t xml:space="preserve">Goffman, Erving (1991). “El orden de la interacción”. En </w:t>
      </w:r>
      <w:r w:rsidRPr="00B633C1">
        <w:rPr>
          <w:i/>
          <w:lang w:val="es-ES"/>
        </w:rPr>
        <w:t xml:space="preserve">Los momentos y sus hombres. </w:t>
      </w:r>
      <w:r w:rsidRPr="00B633C1">
        <w:rPr>
          <w:lang w:val="es-ES"/>
        </w:rPr>
        <w:t xml:space="preserve">Paidós. </w:t>
      </w:r>
    </w:p>
    <w:p w:rsidR="00CE09D0" w:rsidRDefault="00CE09D0" w:rsidP="00EB7D78">
      <w:pPr>
        <w:numPr>
          <w:ilvl w:val="0"/>
          <w:numId w:val="10"/>
        </w:numPr>
        <w:jc w:val="both"/>
        <w:rPr>
          <w:lang w:val="es-ES"/>
        </w:rPr>
      </w:pPr>
      <w:r w:rsidRPr="00B633C1">
        <w:rPr>
          <w:lang w:val="es-ES"/>
        </w:rPr>
        <w:t xml:space="preserve">Goffman, Erving (1970). “Sobre el trabajo de la cara”. En </w:t>
      </w:r>
      <w:r w:rsidRPr="00B633C1">
        <w:rPr>
          <w:i/>
          <w:lang w:val="es-ES"/>
        </w:rPr>
        <w:t>Rituales de la interacción</w:t>
      </w:r>
      <w:r w:rsidRPr="00B633C1">
        <w:rPr>
          <w:lang w:val="es-ES"/>
        </w:rPr>
        <w:t>. Buenos Aires</w:t>
      </w:r>
      <w:r>
        <w:rPr>
          <w:lang w:val="es-ES"/>
        </w:rPr>
        <w:t xml:space="preserve">. </w:t>
      </w:r>
      <w:r w:rsidRPr="00B633C1">
        <w:rPr>
          <w:lang w:val="es-ES"/>
        </w:rPr>
        <w:t>Tiempo contemporáneo.</w:t>
      </w:r>
    </w:p>
    <w:p w:rsidR="00CE09D0" w:rsidRPr="00B268A3" w:rsidRDefault="00CE09D0" w:rsidP="00EB7D78">
      <w:pPr>
        <w:numPr>
          <w:ilvl w:val="0"/>
          <w:numId w:val="10"/>
        </w:numPr>
        <w:jc w:val="both"/>
        <w:rPr>
          <w:lang w:val="es-ES"/>
        </w:rPr>
      </w:pPr>
      <w:r w:rsidRPr="00B268A3">
        <w:rPr>
          <w:rFonts w:ascii="Book Antiqua" w:hAnsi="Book Antiqua"/>
        </w:rPr>
        <w:t xml:space="preserve">Bourdieu P. (1999) </w:t>
      </w:r>
      <w:r w:rsidRPr="00B268A3">
        <w:rPr>
          <w:rFonts w:ascii="Book Antiqua" w:hAnsi="Book Antiqua"/>
          <w:i/>
        </w:rPr>
        <w:t>La miseria del mundo</w:t>
      </w:r>
      <w:r w:rsidRPr="00B268A3">
        <w:rPr>
          <w:rFonts w:ascii="Book Antiqua" w:hAnsi="Book Antiqua"/>
        </w:rPr>
        <w:t>. Buenos Aires: Fondo de Cultura Económica. Capítulos: “Efectos de lugar”; “El espacio de los puntos de vista”.</w:t>
      </w:r>
    </w:p>
    <w:p w:rsidR="00CE09D0" w:rsidRPr="00B633C1" w:rsidRDefault="00CE09D0" w:rsidP="00EB7D78">
      <w:pPr>
        <w:numPr>
          <w:ilvl w:val="0"/>
          <w:numId w:val="10"/>
        </w:numPr>
        <w:jc w:val="both"/>
        <w:rPr>
          <w:lang w:val="es-ES"/>
        </w:rPr>
      </w:pPr>
      <w:r w:rsidRPr="00B633C1">
        <w:rPr>
          <w:lang w:val="es-ES"/>
        </w:rPr>
        <w:t xml:space="preserve">Lahire, Bernard (2008). “Un sociólogo en el aula: objetos en juego y modalidades”. En </w:t>
      </w:r>
      <w:r w:rsidRPr="00B633C1">
        <w:rPr>
          <w:i/>
          <w:lang w:val="es-ES"/>
        </w:rPr>
        <w:t>¿Es la escuela el problema?</w:t>
      </w:r>
      <w:r w:rsidRPr="00B633C1">
        <w:rPr>
          <w:lang w:val="es-ES"/>
        </w:rPr>
        <w:t xml:space="preserve"> España</w:t>
      </w:r>
      <w:r>
        <w:rPr>
          <w:lang w:val="es-ES"/>
        </w:rPr>
        <w:t>.</w:t>
      </w:r>
      <w:r w:rsidRPr="00B633C1">
        <w:rPr>
          <w:lang w:val="es-ES"/>
        </w:rPr>
        <w:t xml:space="preserve"> Trotta.</w:t>
      </w:r>
    </w:p>
    <w:p w:rsidR="00CE09D0" w:rsidRPr="00B633C1" w:rsidRDefault="00CE09D0" w:rsidP="00EB7D78">
      <w:pPr>
        <w:numPr>
          <w:ilvl w:val="0"/>
          <w:numId w:val="10"/>
        </w:numPr>
        <w:jc w:val="both"/>
      </w:pPr>
      <w:r w:rsidRPr="00B633C1">
        <w:t xml:space="preserve">Rockwell, Elsie (2001) “Caminos y rumbos de la investigación etnográfica en América Latina”. En </w:t>
      </w:r>
      <w:r w:rsidRPr="00B633C1">
        <w:rPr>
          <w:i/>
        </w:rPr>
        <w:t>Cuadernos de Antropología Social</w:t>
      </w:r>
      <w:r w:rsidRPr="00B633C1">
        <w:t>, Nº 13. Buenos Aires</w:t>
      </w:r>
      <w:r>
        <w:t>.</w:t>
      </w:r>
      <w:r w:rsidRPr="00B633C1">
        <w:t xml:space="preserve"> ICA. FFYL. UBA. </w:t>
      </w:r>
    </w:p>
    <w:p w:rsidR="00CE09D0" w:rsidRPr="00B633C1" w:rsidRDefault="00CE09D0" w:rsidP="00EB7D78">
      <w:pPr>
        <w:numPr>
          <w:ilvl w:val="0"/>
          <w:numId w:val="10"/>
        </w:numPr>
        <w:jc w:val="both"/>
      </w:pPr>
      <w:r w:rsidRPr="00B633C1">
        <w:t xml:space="preserve">Rockwell, Elsie (2009) “La relevancia de la etnografía”. En </w:t>
      </w:r>
      <w:r w:rsidRPr="00B633C1">
        <w:rPr>
          <w:i/>
        </w:rPr>
        <w:t xml:space="preserve">La experiencia etnográfica. Historia y cultura en los procesos educativos. </w:t>
      </w:r>
      <w:r w:rsidRPr="00B633C1">
        <w:t>México</w:t>
      </w:r>
      <w:r>
        <w:t>.</w:t>
      </w:r>
      <w:r w:rsidRPr="00B633C1">
        <w:t xml:space="preserve"> Paidós.</w:t>
      </w:r>
    </w:p>
    <w:p w:rsidR="00CE09D0" w:rsidRPr="00B633C1" w:rsidRDefault="00CE09D0" w:rsidP="00EB7D78">
      <w:pPr>
        <w:numPr>
          <w:ilvl w:val="0"/>
          <w:numId w:val="10"/>
        </w:numPr>
        <w:jc w:val="both"/>
      </w:pPr>
      <w:r w:rsidRPr="00B633C1">
        <w:t xml:space="preserve">Rockwell, Elsie (2013). “El trabajo docente hoy. Nuevas huellas, bardas y veredas”. En </w:t>
      </w:r>
      <w:r w:rsidRPr="00B633C1">
        <w:rPr>
          <w:i/>
        </w:rPr>
        <w:t>XI Congreso Nacional de Investigación Educativa.</w:t>
      </w:r>
      <w:r w:rsidRPr="00B633C1">
        <w:t xml:space="preserve"> México.</w:t>
      </w:r>
    </w:p>
    <w:p w:rsidR="00CE09D0" w:rsidRPr="00E3003E" w:rsidRDefault="00CE09D0" w:rsidP="001843AA">
      <w:pPr>
        <w:ind w:left="720"/>
        <w:jc w:val="both"/>
        <w:rPr>
          <w:highlight w:val="yellow"/>
        </w:rPr>
      </w:pPr>
    </w:p>
    <w:p w:rsidR="00CE09D0" w:rsidRDefault="00CE09D0" w:rsidP="00CA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>
        <w:rPr>
          <w:lang w:val="es-ES"/>
        </w:rPr>
        <w:t>Bloque 2</w:t>
      </w:r>
    </w:p>
    <w:p w:rsidR="00CE09D0" w:rsidRDefault="00CE09D0" w:rsidP="00EB7D78">
      <w:pPr>
        <w:jc w:val="both"/>
        <w:rPr>
          <w:lang w:val="es-ES"/>
        </w:rPr>
      </w:pPr>
    </w:p>
    <w:p w:rsidR="00CE09D0" w:rsidRPr="00AA7BB3" w:rsidRDefault="00CE09D0" w:rsidP="00EB7D78">
      <w:pPr>
        <w:jc w:val="both"/>
        <w:rPr>
          <w:lang w:val="es-ES"/>
        </w:rPr>
      </w:pPr>
      <w:r>
        <w:rPr>
          <w:lang w:val="es-ES"/>
        </w:rPr>
        <w:t>Las interacciones en el aula como objeto de análisis. El proceso</w:t>
      </w:r>
      <w:r w:rsidRPr="00AA7BB3">
        <w:rPr>
          <w:lang w:val="es-ES"/>
        </w:rPr>
        <w:t xml:space="preserve"> de enseñanza – apren</w:t>
      </w:r>
      <w:r>
        <w:rPr>
          <w:lang w:val="es-ES"/>
        </w:rPr>
        <w:t>dizaje mirado</w:t>
      </w:r>
      <w:r w:rsidRPr="00AA7BB3">
        <w:rPr>
          <w:lang w:val="es-ES"/>
        </w:rPr>
        <w:t xml:space="preserve"> desde la interacción en </w:t>
      </w:r>
      <w:r>
        <w:rPr>
          <w:lang w:val="es-ES"/>
        </w:rPr>
        <w:t>e</w:t>
      </w:r>
      <w:r w:rsidRPr="00B633C1">
        <w:rPr>
          <w:lang w:val="es-ES"/>
        </w:rPr>
        <w:t xml:space="preserve">spacios escolares </w:t>
      </w:r>
      <w:r w:rsidRPr="00AA7BB3">
        <w:rPr>
          <w:lang w:val="es-ES"/>
        </w:rPr>
        <w:t>de primaria.</w:t>
      </w:r>
      <w:r>
        <w:rPr>
          <w:lang w:val="es-ES"/>
        </w:rPr>
        <w:t xml:space="preserve"> </w:t>
      </w:r>
      <w:r w:rsidRPr="00AA7BB3">
        <w:rPr>
          <w:lang w:val="es-ES"/>
        </w:rPr>
        <w:t xml:space="preserve">Interacciones horizontales entre alumnos en el salón de clases. Contextos socioculturales y diferentes enfoques en los estudios de las interacciones. </w:t>
      </w:r>
    </w:p>
    <w:p w:rsidR="00CE09D0" w:rsidRDefault="00CE09D0" w:rsidP="00EB7D78">
      <w:pPr>
        <w:jc w:val="both"/>
        <w:outlineLvl w:val="0"/>
        <w:rPr>
          <w:lang w:val="es-ES"/>
        </w:rPr>
      </w:pPr>
    </w:p>
    <w:p w:rsidR="00CE09D0" w:rsidRDefault="00CE09D0" w:rsidP="00EB7D78">
      <w:pPr>
        <w:jc w:val="both"/>
        <w:outlineLvl w:val="0"/>
        <w:rPr>
          <w:lang w:val="es-ES"/>
        </w:rPr>
      </w:pPr>
      <w:r w:rsidRPr="00AA7BB3">
        <w:rPr>
          <w:lang w:val="es-ES"/>
        </w:rPr>
        <w:t>Bibliografía</w:t>
      </w:r>
    </w:p>
    <w:p w:rsidR="00CE09D0" w:rsidRPr="00707C82" w:rsidRDefault="00CE09D0" w:rsidP="00145B5C">
      <w:pPr>
        <w:jc w:val="both"/>
        <w:rPr>
          <w:lang w:val="es-ES"/>
        </w:rPr>
      </w:pPr>
    </w:p>
    <w:p w:rsidR="00CE09D0" w:rsidRPr="00280E6F" w:rsidRDefault="00CE09D0" w:rsidP="001757A3">
      <w:pPr>
        <w:numPr>
          <w:ilvl w:val="0"/>
          <w:numId w:val="10"/>
        </w:numPr>
        <w:jc w:val="both"/>
        <w:rPr>
          <w:lang w:val="es-ES"/>
        </w:rPr>
      </w:pPr>
      <w:r w:rsidRPr="00280E6F">
        <w:rPr>
          <w:lang w:val="es-ES"/>
        </w:rPr>
        <w:t>Bertely Busquets, María</w:t>
      </w:r>
      <w:r>
        <w:rPr>
          <w:lang w:val="es-ES"/>
        </w:rPr>
        <w:t xml:space="preserve"> (2000).</w:t>
      </w:r>
      <w:r w:rsidRPr="00280E6F">
        <w:rPr>
          <w:lang w:val="es-ES"/>
        </w:rPr>
        <w:t xml:space="preserve"> </w:t>
      </w:r>
      <w:r>
        <w:rPr>
          <w:lang w:val="es-ES"/>
        </w:rPr>
        <w:t>“</w:t>
      </w:r>
      <w:r w:rsidRPr="00280E6F">
        <w:rPr>
          <w:lang w:val="es-ES"/>
        </w:rPr>
        <w:t>Construcción de un objeto etnográfico en educación</w:t>
      </w:r>
      <w:r>
        <w:rPr>
          <w:lang w:val="es-ES"/>
        </w:rPr>
        <w:t>”</w:t>
      </w:r>
      <w:r w:rsidRPr="00280E6F">
        <w:rPr>
          <w:lang w:val="es-ES"/>
        </w:rPr>
        <w:t xml:space="preserve">. En </w:t>
      </w:r>
      <w:r w:rsidRPr="00B633C1">
        <w:rPr>
          <w:i/>
          <w:lang w:val="es-ES"/>
        </w:rPr>
        <w:t>Conociendo nuestras escuelas. Un acercamiento etnográfico a la cultura escolar.</w:t>
      </w:r>
      <w:r w:rsidRPr="00280E6F">
        <w:rPr>
          <w:lang w:val="es-ES"/>
        </w:rPr>
        <w:t xml:space="preserve"> </w:t>
      </w:r>
      <w:r>
        <w:rPr>
          <w:lang w:val="es-ES"/>
        </w:rPr>
        <w:t>México.</w:t>
      </w:r>
      <w:r w:rsidRPr="00280E6F">
        <w:rPr>
          <w:lang w:val="es-ES"/>
        </w:rPr>
        <w:t xml:space="preserve"> </w:t>
      </w:r>
      <w:r>
        <w:rPr>
          <w:lang w:val="es-ES"/>
        </w:rPr>
        <w:t>Paidós</w:t>
      </w:r>
      <w:r w:rsidRPr="00280E6F">
        <w:rPr>
          <w:lang w:val="es-ES"/>
        </w:rPr>
        <w:t>.</w:t>
      </w:r>
    </w:p>
    <w:p w:rsidR="00CE09D0" w:rsidRPr="001757A3" w:rsidRDefault="00CE09D0" w:rsidP="001757A3">
      <w:pPr>
        <w:numPr>
          <w:ilvl w:val="0"/>
          <w:numId w:val="10"/>
        </w:numPr>
        <w:jc w:val="both"/>
        <w:rPr>
          <w:lang w:val="es-ES"/>
        </w:rPr>
      </w:pPr>
      <w:r w:rsidRPr="001757A3">
        <w:rPr>
          <w:bCs/>
        </w:rPr>
        <w:t>Vásquez Bronfman, Ana y Martínez, Isabel</w:t>
      </w:r>
      <w:r>
        <w:rPr>
          <w:bCs/>
        </w:rPr>
        <w:t xml:space="preserve"> (1996)</w:t>
      </w:r>
      <w:r w:rsidRPr="001757A3">
        <w:rPr>
          <w:bCs/>
        </w:rPr>
        <w:t xml:space="preserve"> </w:t>
      </w:r>
      <w:r>
        <w:rPr>
          <w:bCs/>
        </w:rPr>
        <w:t>“</w:t>
      </w:r>
      <w:r w:rsidRPr="001757A3">
        <w:rPr>
          <w:bCs/>
        </w:rPr>
        <w:t>La cara oculta de la luna: las interacciones entre alumnos en la clase</w:t>
      </w:r>
      <w:r>
        <w:rPr>
          <w:bCs/>
        </w:rPr>
        <w:t>”</w:t>
      </w:r>
      <w:r w:rsidRPr="001757A3">
        <w:rPr>
          <w:bCs/>
        </w:rPr>
        <w:t xml:space="preserve">. En </w:t>
      </w:r>
      <w:r w:rsidRPr="00B633C1">
        <w:rPr>
          <w:bCs/>
          <w:i/>
        </w:rPr>
        <w:t>La socialización en la escuela. Una perspectiva etnográfica.</w:t>
      </w:r>
      <w:r w:rsidRPr="001757A3">
        <w:rPr>
          <w:bCs/>
        </w:rPr>
        <w:t xml:space="preserve"> </w:t>
      </w:r>
      <w:r>
        <w:rPr>
          <w:bCs/>
        </w:rPr>
        <w:t>España.</w:t>
      </w:r>
      <w:r w:rsidRPr="003E7E87">
        <w:rPr>
          <w:bCs/>
        </w:rPr>
        <w:t xml:space="preserve"> </w:t>
      </w:r>
      <w:r w:rsidRPr="001757A3">
        <w:rPr>
          <w:bCs/>
        </w:rPr>
        <w:t xml:space="preserve">Paidós. </w:t>
      </w:r>
    </w:p>
    <w:p w:rsidR="00CE09D0" w:rsidRPr="003E7E87" w:rsidRDefault="00CE09D0" w:rsidP="001757A3">
      <w:pPr>
        <w:numPr>
          <w:ilvl w:val="0"/>
          <w:numId w:val="10"/>
        </w:numPr>
        <w:jc w:val="both"/>
        <w:rPr>
          <w:lang w:val="es-ES"/>
        </w:rPr>
      </w:pPr>
      <w:r w:rsidRPr="001757A3">
        <w:rPr>
          <w:lang w:val="es-ES"/>
        </w:rPr>
        <w:t>Armando, Joel</w:t>
      </w:r>
      <w:r>
        <w:rPr>
          <w:lang w:val="es-ES"/>
        </w:rPr>
        <w:t xml:space="preserve"> (2008)</w:t>
      </w:r>
      <w:r w:rsidRPr="001757A3">
        <w:rPr>
          <w:lang w:val="es-ES"/>
        </w:rPr>
        <w:t xml:space="preserve"> El pasaje del sexto grado al nivel medio: un estudio de las continuidades y rupturas en clases de </w:t>
      </w:r>
      <w:r>
        <w:rPr>
          <w:lang w:val="es-ES"/>
        </w:rPr>
        <w:t>matemática. (</w:t>
      </w:r>
      <w:r w:rsidRPr="001757A3">
        <w:rPr>
          <w:lang w:val="es-ES"/>
        </w:rPr>
        <w:t xml:space="preserve">capítulo 2) Tesis de Maestría. </w:t>
      </w:r>
      <w:r w:rsidRPr="003E7E87">
        <w:rPr>
          <w:lang w:val="es-ES"/>
        </w:rPr>
        <w:t xml:space="preserve">CEA- UNC. Córdoba.  </w:t>
      </w:r>
    </w:p>
    <w:p w:rsidR="00CE09D0" w:rsidRPr="003E7E87" w:rsidRDefault="00CE09D0" w:rsidP="001757A3">
      <w:pPr>
        <w:numPr>
          <w:ilvl w:val="0"/>
          <w:numId w:val="10"/>
        </w:numPr>
        <w:jc w:val="both"/>
        <w:rPr>
          <w:lang w:val="es-ES"/>
        </w:rPr>
      </w:pPr>
      <w:r w:rsidRPr="003E7E87">
        <w:rPr>
          <w:lang w:val="es-ES"/>
        </w:rPr>
        <w:t xml:space="preserve">Wenetz, Ileana y Stigger, Marco Paulo (2011) “Género y sexualidad en la escuela: un estudio etnográfico del recreo”. En Milstein, D. et al </w:t>
      </w:r>
      <w:r w:rsidRPr="003E7E87">
        <w:rPr>
          <w:i/>
          <w:lang w:val="es-ES"/>
        </w:rPr>
        <w:t>Encuentros etnográficos con niñ@s y adolescentes</w:t>
      </w:r>
      <w:r w:rsidRPr="003E7E87">
        <w:rPr>
          <w:lang w:val="es-ES"/>
        </w:rPr>
        <w:t>. Buenos Aires</w:t>
      </w:r>
      <w:r>
        <w:rPr>
          <w:lang w:val="es-ES"/>
        </w:rPr>
        <w:t>.</w:t>
      </w:r>
      <w:r w:rsidRPr="003E7E87">
        <w:rPr>
          <w:lang w:val="es-ES"/>
        </w:rPr>
        <w:t xml:space="preserve"> Miño y Dávila. </w:t>
      </w:r>
    </w:p>
    <w:p w:rsidR="00CE09D0" w:rsidRDefault="00CE09D0" w:rsidP="003A3C2B">
      <w:pPr>
        <w:ind w:left="720"/>
        <w:jc w:val="both"/>
        <w:rPr>
          <w:color w:val="7030A0"/>
          <w:lang w:val="es-ES"/>
        </w:rPr>
      </w:pPr>
    </w:p>
    <w:p w:rsidR="00CE09D0" w:rsidRDefault="00CE09D0" w:rsidP="00CA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>
        <w:rPr>
          <w:lang w:val="es-ES"/>
        </w:rPr>
        <w:t>Bloque 3</w:t>
      </w:r>
    </w:p>
    <w:p w:rsidR="00CE09D0" w:rsidRDefault="00CE09D0" w:rsidP="00EB7D78">
      <w:pPr>
        <w:jc w:val="both"/>
        <w:rPr>
          <w:lang w:val="es-ES"/>
        </w:rPr>
      </w:pPr>
    </w:p>
    <w:p w:rsidR="00CE09D0" w:rsidRDefault="00CE09D0" w:rsidP="00EB7D78">
      <w:pPr>
        <w:jc w:val="both"/>
        <w:rPr>
          <w:lang w:val="es-ES"/>
        </w:rPr>
      </w:pPr>
      <w:r>
        <w:rPr>
          <w:lang w:val="es-ES"/>
        </w:rPr>
        <w:t xml:space="preserve">Relaciones entre pares en la escuela secundaria. Juegos de igualdad y diferenciación. Apropiaciones y recursos en la construcción de las identidades estudiantiles. Indagaciones, observaciones y contextos.  </w:t>
      </w:r>
    </w:p>
    <w:p w:rsidR="00CE09D0" w:rsidRDefault="00CE09D0" w:rsidP="00EB7D78">
      <w:pPr>
        <w:jc w:val="both"/>
        <w:rPr>
          <w:lang w:val="es-ES"/>
        </w:rPr>
      </w:pPr>
    </w:p>
    <w:p w:rsidR="00CE09D0" w:rsidRDefault="00CE09D0" w:rsidP="00EB7D78">
      <w:pPr>
        <w:jc w:val="both"/>
        <w:rPr>
          <w:lang w:val="es-ES"/>
        </w:rPr>
      </w:pPr>
    </w:p>
    <w:p w:rsidR="00CE09D0" w:rsidRDefault="00CE09D0" w:rsidP="00EB7D78">
      <w:pPr>
        <w:jc w:val="both"/>
        <w:outlineLvl w:val="0"/>
        <w:rPr>
          <w:lang w:val="es-ES"/>
        </w:rPr>
      </w:pPr>
      <w:r>
        <w:rPr>
          <w:lang w:val="es-ES"/>
        </w:rPr>
        <w:t>Bibliografía</w:t>
      </w:r>
    </w:p>
    <w:p w:rsidR="00CE09D0" w:rsidRDefault="00CE09D0" w:rsidP="00EB7D78">
      <w:pPr>
        <w:jc w:val="both"/>
        <w:rPr>
          <w:lang w:val="es-ES"/>
        </w:rPr>
      </w:pPr>
    </w:p>
    <w:p w:rsidR="00CE09D0" w:rsidRPr="00637836" w:rsidRDefault="00CE09D0" w:rsidP="00EB7D78">
      <w:pPr>
        <w:numPr>
          <w:ilvl w:val="0"/>
          <w:numId w:val="11"/>
        </w:numPr>
        <w:jc w:val="both"/>
      </w:pPr>
      <w:r w:rsidRPr="00637836">
        <w:t>Levinson, Bradley</w:t>
      </w:r>
      <w:r>
        <w:t xml:space="preserve"> (2002) “</w:t>
      </w:r>
      <w:r w:rsidRPr="00637836">
        <w:t>Somos muy unidos: la producción de la cultura estudiantil en el grupo escolar</w:t>
      </w:r>
      <w:r>
        <w:t>”</w:t>
      </w:r>
      <w:r w:rsidRPr="00637836">
        <w:t xml:space="preserve">. </w:t>
      </w:r>
      <w:r>
        <w:t xml:space="preserve">En </w:t>
      </w:r>
      <w:r w:rsidRPr="001C522E">
        <w:rPr>
          <w:i/>
        </w:rPr>
        <w:t>Todos somos iguales: cultura y aspiración estudiantil en una escuela secundaria mexicana</w:t>
      </w:r>
      <w:r>
        <w:t>. México. Santillana.</w:t>
      </w:r>
    </w:p>
    <w:p w:rsidR="00CE09D0" w:rsidRPr="00637836" w:rsidRDefault="00CE09D0" w:rsidP="00EB7D78">
      <w:pPr>
        <w:numPr>
          <w:ilvl w:val="0"/>
          <w:numId w:val="11"/>
        </w:numPr>
        <w:jc w:val="both"/>
      </w:pPr>
      <w:r>
        <w:t>_______________</w:t>
      </w:r>
      <w:r w:rsidRPr="00637836">
        <w:t xml:space="preserve"> </w:t>
      </w:r>
      <w:r>
        <w:t>“</w:t>
      </w:r>
      <w:r w:rsidRPr="00637836">
        <w:t>Contextos de diferencia social y producción de la identidad escolarizada</w:t>
      </w:r>
      <w:r>
        <w:t>”</w:t>
      </w:r>
      <w:r w:rsidRPr="00637836">
        <w:t xml:space="preserve">. </w:t>
      </w:r>
      <w:r>
        <w:t xml:space="preserve">En </w:t>
      </w:r>
      <w:r w:rsidRPr="001C522E">
        <w:rPr>
          <w:i/>
        </w:rPr>
        <w:t>Todos somos iguales: cultura y aspiración estudiantil en una escuela secundaria mexicana</w:t>
      </w:r>
      <w:r>
        <w:t>. México. Santillana.</w:t>
      </w:r>
    </w:p>
    <w:p w:rsidR="00CE09D0" w:rsidRDefault="00CE09D0" w:rsidP="00EB7D78">
      <w:pPr>
        <w:numPr>
          <w:ilvl w:val="0"/>
          <w:numId w:val="11"/>
        </w:numPr>
        <w:jc w:val="both"/>
      </w:pPr>
      <w:r w:rsidRPr="005974E8">
        <w:t>Maldonado</w:t>
      </w:r>
      <w:r>
        <w:t>,</w:t>
      </w:r>
      <w:r w:rsidRPr="005974E8">
        <w:t xml:space="preserve"> Mónica</w:t>
      </w:r>
      <w:r>
        <w:t xml:space="preserve"> (2000)</w:t>
      </w:r>
      <w:r w:rsidRPr="005974E8">
        <w:t xml:space="preserve"> </w:t>
      </w:r>
      <w:r w:rsidRPr="003E7E87">
        <w:rPr>
          <w:i/>
        </w:rPr>
        <w:t>Una escuela dentro de una escuela</w:t>
      </w:r>
      <w:r w:rsidRPr="005974E8">
        <w:t xml:space="preserve">. </w:t>
      </w:r>
      <w:r>
        <w:t xml:space="preserve">Buenos Aires. </w:t>
      </w:r>
      <w:r w:rsidRPr="005974E8">
        <w:t>Eudeba</w:t>
      </w:r>
      <w:r>
        <w:t>.</w:t>
      </w:r>
    </w:p>
    <w:p w:rsidR="00CE09D0" w:rsidRDefault="00CE09D0" w:rsidP="00EB7D78">
      <w:pPr>
        <w:numPr>
          <w:ilvl w:val="0"/>
          <w:numId w:val="11"/>
        </w:numPr>
        <w:jc w:val="both"/>
      </w:pPr>
      <w:r w:rsidRPr="00097710">
        <w:t>Saucedo, Claudia</w:t>
      </w:r>
      <w:r>
        <w:t xml:space="preserve"> (2006)</w:t>
      </w:r>
      <w:r w:rsidRPr="00097710">
        <w:t xml:space="preserve"> </w:t>
      </w:r>
      <w:r>
        <w:t>“</w:t>
      </w:r>
      <w:r w:rsidRPr="00097710">
        <w:t>Estudiantes de secundaria</w:t>
      </w:r>
      <w:r>
        <w:t xml:space="preserve">. Sus apropiaciones de recursos culturales para recrear su condición de jóvenes en la escuela”. En </w:t>
      </w:r>
      <w:r w:rsidRPr="003E7E87">
        <w:rPr>
          <w:i/>
        </w:rPr>
        <w:t>Revista Mexicana de Investigación Educativa.</w:t>
      </w:r>
      <w:r>
        <w:t xml:space="preserve"> Abril-junio 2006. Vol 11, Nº 29. México. </w:t>
      </w:r>
    </w:p>
    <w:p w:rsidR="00CE09D0" w:rsidRPr="005027FB" w:rsidRDefault="00CE09D0" w:rsidP="005027FB">
      <w:pPr>
        <w:numPr>
          <w:ilvl w:val="0"/>
          <w:numId w:val="11"/>
        </w:numPr>
        <w:jc w:val="both"/>
      </w:pPr>
      <w:r>
        <w:t xml:space="preserve">Servetto, Silvia (2015) </w:t>
      </w:r>
      <w:r w:rsidRPr="00B268A3">
        <w:t>Clases medias, escuela y religión: socialización y escolarización de jóvenes en colegios secundarios católicos en Córdoba</w:t>
      </w:r>
      <w:r>
        <w:t xml:space="preserve">. Capitulo V: </w:t>
      </w:r>
      <w:r w:rsidRPr="005027FB">
        <w:t>Experiencias escolares de alumnos y alumnas que asisten a escuelas católicas</w:t>
      </w:r>
    </w:p>
    <w:p w:rsidR="00CE09D0" w:rsidRDefault="00CE09D0" w:rsidP="00EB7D78">
      <w:pPr>
        <w:jc w:val="both"/>
      </w:pPr>
    </w:p>
    <w:p w:rsidR="00CE09D0" w:rsidRDefault="00CE09D0" w:rsidP="00CA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Bloque 4</w:t>
      </w:r>
    </w:p>
    <w:p w:rsidR="00CE09D0" w:rsidRPr="00CA66BD" w:rsidRDefault="00CE09D0" w:rsidP="00EB7D78">
      <w:pPr>
        <w:jc w:val="both"/>
      </w:pPr>
    </w:p>
    <w:p w:rsidR="00CE09D0" w:rsidRDefault="00CE09D0" w:rsidP="00EB7D78">
      <w:pPr>
        <w:jc w:val="both"/>
        <w:rPr>
          <w:lang w:val="es-ES"/>
        </w:rPr>
      </w:pPr>
      <w:r>
        <w:rPr>
          <w:lang w:val="es-ES"/>
        </w:rPr>
        <w:t>Actores escolares en interacción: la mirada de los investigadores y los objetos de estudio. Diversidad cultural y formas de interacción. Cuando la interacción es conflicto.</w:t>
      </w:r>
    </w:p>
    <w:p w:rsidR="00CE09D0" w:rsidRDefault="00CE09D0" w:rsidP="00EB7D78">
      <w:pPr>
        <w:jc w:val="both"/>
        <w:rPr>
          <w:lang w:val="es-ES"/>
        </w:rPr>
      </w:pPr>
    </w:p>
    <w:p w:rsidR="00CE09D0" w:rsidRDefault="00CE09D0" w:rsidP="00EB7D78">
      <w:pPr>
        <w:jc w:val="both"/>
        <w:rPr>
          <w:lang w:val="es-ES"/>
        </w:rPr>
      </w:pPr>
    </w:p>
    <w:p w:rsidR="00CE09D0" w:rsidRDefault="00CE09D0" w:rsidP="00EB7D78">
      <w:pPr>
        <w:jc w:val="both"/>
        <w:outlineLvl w:val="0"/>
        <w:rPr>
          <w:lang w:val="es-ES"/>
        </w:rPr>
      </w:pPr>
      <w:r>
        <w:rPr>
          <w:lang w:val="es-ES"/>
        </w:rPr>
        <w:t>Bibliografía</w:t>
      </w:r>
    </w:p>
    <w:p w:rsidR="00CE09D0" w:rsidRDefault="00CE09D0" w:rsidP="00EB7D78">
      <w:pPr>
        <w:jc w:val="both"/>
        <w:rPr>
          <w:lang w:val="es-ES"/>
        </w:rPr>
      </w:pPr>
    </w:p>
    <w:p w:rsidR="00CE09D0" w:rsidRPr="00E857E3" w:rsidRDefault="00CE09D0" w:rsidP="00E857E3">
      <w:pPr>
        <w:numPr>
          <w:ilvl w:val="0"/>
          <w:numId w:val="8"/>
        </w:numPr>
        <w:jc w:val="both"/>
        <w:rPr>
          <w:sz w:val="22"/>
          <w:szCs w:val="22"/>
          <w:lang w:val="es-ES"/>
        </w:rPr>
      </w:pPr>
      <w:r>
        <w:rPr>
          <w:lang w:val="es-ES"/>
        </w:rPr>
        <w:t xml:space="preserve">Paradise, Ruth (1992). La socialización para la autonomía en un contexto interaccional mazahua. </w:t>
      </w:r>
      <w:r w:rsidRPr="00866E27">
        <w:rPr>
          <w:lang w:val="es-ES"/>
        </w:rPr>
        <w:t xml:space="preserve">En </w:t>
      </w:r>
      <w:r w:rsidRPr="00866E27">
        <w:rPr>
          <w:i/>
          <w:lang w:val="es-ES"/>
        </w:rPr>
        <w:t>Documentos Nº 22</w:t>
      </w:r>
      <w:r w:rsidRPr="00866E27">
        <w:rPr>
          <w:lang w:val="es-ES"/>
        </w:rPr>
        <w:t xml:space="preserve"> DIE – IPN. México.</w:t>
      </w:r>
    </w:p>
    <w:p w:rsidR="00CE09D0" w:rsidRPr="005027FB" w:rsidRDefault="00CE09D0" w:rsidP="00D25226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5027FB">
        <w:rPr>
          <w:lang w:val="es-ES"/>
        </w:rPr>
        <w:t xml:space="preserve">Paradise, R: El conocimiento cultural en el salón de clase: niños indígenas y su orientación hacia la observación, en La construcción social del conocimiento en el aula: un enfoque etnográfico </w:t>
      </w:r>
      <w:r w:rsidRPr="00CB1FD2">
        <w:rPr>
          <w:color w:val="0000FF"/>
          <w:lang w:val="es-ES"/>
        </w:rPr>
        <w:t xml:space="preserve">- </w:t>
      </w:r>
      <w:r w:rsidRPr="00CB1FD2">
        <w:rPr>
          <w:rStyle w:val="HTMLCite"/>
          <w:rFonts w:ascii="Arial" w:hAnsi="Arial" w:cs="Arial"/>
          <w:b/>
          <w:i w:val="0"/>
          <w:iCs w:val="0"/>
          <w:color w:val="0000FF"/>
          <w:sz w:val="16"/>
          <w:szCs w:val="16"/>
        </w:rPr>
        <w:t>https://dialnet.unirioja.es/descarga/articulo/48376.pdf</w:t>
      </w:r>
    </w:p>
    <w:p w:rsidR="00CE09D0" w:rsidRPr="005027FB" w:rsidRDefault="00CE09D0" w:rsidP="00374AF7">
      <w:pPr>
        <w:numPr>
          <w:ilvl w:val="0"/>
          <w:numId w:val="8"/>
        </w:numPr>
        <w:jc w:val="both"/>
        <w:rPr>
          <w:lang w:val="es-ES"/>
        </w:rPr>
      </w:pPr>
      <w:r w:rsidRPr="005027FB">
        <w:rPr>
          <w:lang w:val="es-ES"/>
        </w:rPr>
        <w:t xml:space="preserve">Maldonado, Mónica y Servetto, Silvia. (2009) Contingencias y desencuentros: una protesta de estudiantes secundarios. En Avá. Revista de antropología Nº 14. Posadas, Misiones. </w:t>
      </w:r>
    </w:p>
    <w:p w:rsidR="00CE09D0" w:rsidRPr="005027FB" w:rsidRDefault="00CE09D0" w:rsidP="00374AF7">
      <w:pPr>
        <w:numPr>
          <w:ilvl w:val="0"/>
          <w:numId w:val="8"/>
        </w:numPr>
        <w:jc w:val="both"/>
        <w:rPr>
          <w:lang w:val="es-ES"/>
        </w:rPr>
      </w:pPr>
      <w:r w:rsidRPr="005027FB">
        <w:rPr>
          <w:lang w:val="es-ES"/>
        </w:rPr>
        <w:t>Molina, G. (2013) Género y sexualidades entre estudiantes secundarios. Un estudio etnográfico en escuelas cordobesas. Introducción. Capitulo 1: Tensiones sobre género y sexualidad en la escuela secundaria. Capítulo 3: Las disputas de género entre grupos escolares. Buenos Aires: Miño y Dávila</w:t>
      </w:r>
    </w:p>
    <w:p w:rsidR="00CE09D0" w:rsidRPr="00374AF7" w:rsidRDefault="00CE09D0" w:rsidP="00374AF7">
      <w:pPr>
        <w:ind w:left="360"/>
        <w:jc w:val="both"/>
        <w:rPr>
          <w:lang w:val="es-ES"/>
        </w:rPr>
      </w:pPr>
    </w:p>
    <w:p w:rsidR="00CE09D0" w:rsidRDefault="00CE09D0" w:rsidP="00374AF7">
      <w:pPr>
        <w:ind w:left="360"/>
        <w:jc w:val="both"/>
      </w:pPr>
    </w:p>
    <w:p w:rsidR="00CE09D0" w:rsidRDefault="00CE09D0" w:rsidP="00EB7D78">
      <w:pPr>
        <w:jc w:val="both"/>
      </w:pPr>
    </w:p>
    <w:p w:rsidR="00CE09D0" w:rsidRPr="0012712D" w:rsidRDefault="00CE09D0" w:rsidP="00EB7D78">
      <w:pPr>
        <w:jc w:val="both"/>
        <w:outlineLvl w:val="0"/>
        <w:rPr>
          <w:b/>
        </w:rPr>
      </w:pPr>
      <w:r w:rsidRPr="0012712D">
        <w:rPr>
          <w:b/>
        </w:rPr>
        <w:t>Metodología de trabajo</w:t>
      </w:r>
    </w:p>
    <w:p w:rsidR="00CE09D0" w:rsidRDefault="00CE09D0" w:rsidP="00EB7D78">
      <w:pPr>
        <w:jc w:val="both"/>
      </w:pPr>
    </w:p>
    <w:p w:rsidR="00CE09D0" w:rsidRDefault="00CE09D0" w:rsidP="00EB7D78">
      <w:pPr>
        <w:jc w:val="both"/>
      </w:pPr>
      <w:r>
        <w:t xml:space="preserve">Durante el seminario se abordarán los diversos textos propuestos en la bibliografía, buscando hacer comprensibles sus sentidos, escudriñando críticamente algunos de sus aportes conceptuales e investigativos más relevantes y destacando sus contribuciones específicas al enriquecimiento de la mirada sobre la complejidad social del aula. </w:t>
      </w:r>
    </w:p>
    <w:p w:rsidR="00CE09D0" w:rsidRDefault="00CE09D0" w:rsidP="00EB7D78">
      <w:pPr>
        <w:jc w:val="both"/>
      </w:pPr>
      <w:r>
        <w:t>Se solicita a los cursantes realizar, previamente al inicio del curso,  las siguientes lecturas previas:</w:t>
      </w:r>
    </w:p>
    <w:p w:rsidR="00CE09D0" w:rsidRDefault="00CE09D0" w:rsidP="00EB7D78">
      <w:pPr>
        <w:jc w:val="both"/>
      </w:pPr>
    </w:p>
    <w:p w:rsidR="00CE09D0" w:rsidRPr="00707C82" w:rsidRDefault="00CE09D0" w:rsidP="00707C82">
      <w:pPr>
        <w:jc w:val="both"/>
        <w:rPr>
          <w:lang w:val="es-ES"/>
        </w:rPr>
      </w:pPr>
    </w:p>
    <w:p w:rsidR="00CE09D0" w:rsidRPr="006B37C1" w:rsidRDefault="00CE09D0" w:rsidP="00C3692F">
      <w:pPr>
        <w:jc w:val="both"/>
      </w:pPr>
      <w:r w:rsidRPr="006B37C1">
        <w:t>SAUCEDO; C. (2006) “Estudiantes de secundaria. Sus apropiaciones de recursos culturales para crear su condición como jóvenes en la escuela.” Revista Mexicana de Investigación Educativa. Vol. 11; Nº 29. México.</w:t>
      </w:r>
    </w:p>
    <w:p w:rsidR="00CE09D0" w:rsidRDefault="00CE09D0" w:rsidP="00C3692F">
      <w:pPr>
        <w:jc w:val="both"/>
      </w:pPr>
      <w:hyperlink r:id="rId5" w:history="1">
        <w:r w:rsidRPr="006B37C1">
          <w:rPr>
            <w:rStyle w:val="Hyperlink"/>
          </w:rPr>
          <w:t>http://www.comie.org.mx/v1/revista/visualizador.php?articulo=ART00051&amp;criterio=http://www.comie.org.mx/documentos/rmie/v11/n29/pdf/rmiev11n29scB02n03es.pdf</w:t>
        </w:r>
      </w:hyperlink>
    </w:p>
    <w:p w:rsidR="00CE09D0" w:rsidRDefault="00CE09D0" w:rsidP="00EB7D78">
      <w:pPr>
        <w:jc w:val="both"/>
      </w:pPr>
    </w:p>
    <w:p w:rsidR="00CE09D0" w:rsidRPr="006B37C1" w:rsidRDefault="00CE09D0" w:rsidP="00C3692F">
      <w:pPr>
        <w:jc w:val="both"/>
      </w:pPr>
      <w:r w:rsidRPr="006B37C1">
        <w:t xml:space="preserve">MALDONADO M., SERVETTO S.  (2009) “Vacíos, contingencias y desencuentros: análisis de una protesta estudiantil en la escuela media” Revista AVÂ. Nº 14. Universidad Nacional de Misiones. Posadas. </w:t>
      </w:r>
      <w:hyperlink r:id="rId6" w:history="1">
        <w:r w:rsidRPr="006B37C1">
          <w:rPr>
            <w:rStyle w:val="Hyperlink"/>
          </w:rPr>
          <w:t>http://www.redalyc.org/pdf/1690/169013838012.pdf</w:t>
        </w:r>
      </w:hyperlink>
    </w:p>
    <w:p w:rsidR="00CE09D0" w:rsidRDefault="00CE09D0" w:rsidP="00EB7D78">
      <w:pPr>
        <w:jc w:val="both"/>
      </w:pPr>
    </w:p>
    <w:p w:rsidR="00CE09D0" w:rsidRDefault="00CE09D0" w:rsidP="00EB7D78">
      <w:pPr>
        <w:jc w:val="both"/>
      </w:pPr>
    </w:p>
    <w:p w:rsidR="00CE09D0" w:rsidRDefault="00CE09D0" w:rsidP="00EB7D78">
      <w:pPr>
        <w:jc w:val="both"/>
      </w:pPr>
      <w:r>
        <w:t>Asimismo se plantearán durante las clases algunas actividades que posibiliten diversos ingresos y elaboraciones de la temática abordada.</w:t>
      </w:r>
    </w:p>
    <w:p w:rsidR="00CE09D0" w:rsidRDefault="00CE09D0" w:rsidP="00EB7D78">
      <w:pPr>
        <w:jc w:val="both"/>
      </w:pPr>
    </w:p>
    <w:p w:rsidR="00CE09D0" w:rsidRPr="0012712D" w:rsidRDefault="00CE09D0" w:rsidP="00EB7D78">
      <w:pPr>
        <w:jc w:val="both"/>
        <w:rPr>
          <w:b/>
        </w:rPr>
      </w:pPr>
    </w:p>
    <w:p w:rsidR="00CE09D0" w:rsidRPr="0012712D" w:rsidRDefault="00CE09D0" w:rsidP="00EB7D78">
      <w:pPr>
        <w:jc w:val="both"/>
        <w:outlineLvl w:val="0"/>
        <w:rPr>
          <w:b/>
        </w:rPr>
      </w:pPr>
      <w:r w:rsidRPr="0012712D">
        <w:rPr>
          <w:b/>
        </w:rPr>
        <w:t>Evaluación</w:t>
      </w:r>
    </w:p>
    <w:p w:rsidR="00CE09D0" w:rsidRDefault="00CE09D0" w:rsidP="00EB7D78">
      <w:pPr>
        <w:jc w:val="both"/>
      </w:pPr>
    </w:p>
    <w:p w:rsidR="00CE09D0" w:rsidRDefault="00CE09D0" w:rsidP="00EB7D78">
      <w:pPr>
        <w:jc w:val="both"/>
      </w:pPr>
      <w:r>
        <w:t xml:space="preserve">Para acreditar el seminario los alumnos deberán presentar una </w:t>
      </w:r>
      <w:r w:rsidRPr="00551C5B">
        <w:t>m</w:t>
      </w:r>
      <w:r>
        <w:t>onografía (entre 6 y 7 páginas</w:t>
      </w:r>
      <w:r w:rsidRPr="00551C5B">
        <w:t>) en la que desarrollen algunas de las siguientes alternati</w:t>
      </w:r>
      <w:r>
        <w:t>vas:</w:t>
      </w:r>
    </w:p>
    <w:p w:rsidR="00CE09D0" w:rsidRDefault="00CE09D0" w:rsidP="00EB7D78">
      <w:pPr>
        <w:jc w:val="both"/>
      </w:pPr>
    </w:p>
    <w:p w:rsidR="00CE09D0" w:rsidRDefault="00CE09D0" w:rsidP="00EB7D78">
      <w:pPr>
        <w:numPr>
          <w:ilvl w:val="0"/>
          <w:numId w:val="14"/>
        </w:numPr>
        <w:spacing w:after="120"/>
        <w:jc w:val="both"/>
      </w:pPr>
      <w:r>
        <w:t xml:space="preserve">Articular los planteamientos teóricos del primer eje con alguna de las temáticas de los tres ejes restantes. Podrán tomar en cuenta para ello los temas que resulten más próximos a sus intereses. </w:t>
      </w:r>
    </w:p>
    <w:p w:rsidR="00CE09D0" w:rsidRDefault="00CE09D0" w:rsidP="00EB7D78">
      <w:pPr>
        <w:numPr>
          <w:ilvl w:val="0"/>
          <w:numId w:val="14"/>
        </w:numPr>
        <w:spacing w:after="120"/>
        <w:jc w:val="both"/>
      </w:pPr>
      <w:r>
        <w:t xml:space="preserve">Se incorporen los aportes teóricos del seminario en el tratamiento del </w:t>
      </w:r>
      <w:r w:rsidRPr="00551C5B">
        <w:t>proyecto o desarrollo de la tesis.</w:t>
      </w:r>
    </w:p>
    <w:p w:rsidR="00CE09D0" w:rsidRDefault="00CE09D0" w:rsidP="009470E1">
      <w:pPr>
        <w:spacing w:after="120"/>
        <w:jc w:val="both"/>
      </w:pPr>
    </w:p>
    <w:p w:rsidR="00CE09D0" w:rsidRDefault="00CE09D0" w:rsidP="009470E1">
      <w:pPr>
        <w:spacing w:after="120"/>
        <w:jc w:val="both"/>
      </w:pPr>
      <w:r>
        <w:t>Bibliografia complementaria:</w:t>
      </w:r>
    </w:p>
    <w:p w:rsidR="00CE09D0" w:rsidRPr="005027FB" w:rsidRDefault="00CE09D0" w:rsidP="00F364E5">
      <w:pPr>
        <w:jc w:val="both"/>
        <w:rPr>
          <w:lang w:val="es-ES"/>
        </w:rPr>
      </w:pPr>
      <w:r w:rsidRPr="005027FB">
        <w:rPr>
          <w:lang w:val="es-ES"/>
        </w:rPr>
        <w:t xml:space="preserve">Brandi, Lía Stella (2006) “La clase como un diálogo antagónico. Un estudio cualitativo en una escuela de sectores populares”. En </w:t>
      </w:r>
      <w:r w:rsidRPr="005027FB">
        <w:rPr>
          <w:i/>
          <w:lang w:val="es-ES"/>
        </w:rPr>
        <w:t>Cuadernos de Educación Nº 4</w:t>
      </w:r>
      <w:r w:rsidRPr="005027FB">
        <w:rPr>
          <w:lang w:val="es-ES"/>
        </w:rPr>
        <w:t xml:space="preserve">. Centro de Investigaciones de </w:t>
      </w:r>
      <w:smartTag w:uri="urn:schemas-microsoft-com:office:smarttags" w:element="PersonName">
        <w:smartTagPr>
          <w:attr w:name="ProductID" w:val="la FFyH"/>
        </w:smartTagPr>
        <w:r w:rsidRPr="005027FB">
          <w:rPr>
            <w:lang w:val="es-ES"/>
          </w:rPr>
          <w:t>la FFyH</w:t>
        </w:r>
      </w:smartTag>
      <w:r w:rsidRPr="005027FB">
        <w:rPr>
          <w:lang w:val="es-ES"/>
        </w:rPr>
        <w:t>, UNC, Córdoba.</w:t>
      </w:r>
    </w:p>
    <w:p w:rsidR="00CE09D0" w:rsidRPr="005027FB" w:rsidRDefault="00CE09D0" w:rsidP="00F364E5">
      <w:pPr>
        <w:jc w:val="both"/>
        <w:rPr>
          <w:lang w:val="es-AR"/>
        </w:rPr>
      </w:pPr>
      <w:r w:rsidRPr="005027FB">
        <w:rPr>
          <w:lang w:val="es-ES"/>
        </w:rPr>
        <w:t xml:space="preserve">CHARLOT, B (2008) La relación de los alumnos con el saber y con la escuela. Conferencia dictada en el IV Congreso de Educación. Montevideo. Uruguay. </w:t>
      </w:r>
      <w:hyperlink r:id="rId7" w:history="1">
        <w:r w:rsidRPr="005027FB">
          <w:rPr>
            <w:rStyle w:val="Hyperlink"/>
            <w:lang w:val="es-AR"/>
          </w:rPr>
          <w:t>www.fumtep.uy/...y.../234_30500d532f18b26d1cb2cef1db471335</w:t>
        </w:r>
      </w:hyperlink>
    </w:p>
    <w:p w:rsidR="00CE09D0" w:rsidRPr="005027FB" w:rsidRDefault="00CE09D0" w:rsidP="00F364E5">
      <w:pPr>
        <w:jc w:val="both"/>
        <w:rPr>
          <w:rStyle w:val="titulo1"/>
          <w:b w:val="0"/>
          <w:bCs w:val="0"/>
          <w:sz w:val="24"/>
          <w:szCs w:val="24"/>
          <w:lang w:val="es-ES"/>
        </w:rPr>
      </w:pPr>
      <w:r w:rsidRPr="005027FB">
        <w:rPr>
          <w:rStyle w:val="autornom1"/>
          <w:b w:val="0"/>
          <w:lang w:val="es-ES"/>
        </w:rPr>
        <w:t xml:space="preserve">Czarny, Gabriela V. (1995) “Los niños de origen mazahua en la escuela”. En </w:t>
      </w:r>
      <w:r w:rsidRPr="005027FB">
        <w:rPr>
          <w:rStyle w:val="autornom1"/>
          <w:b w:val="0"/>
          <w:i/>
          <w:lang w:val="es-ES"/>
        </w:rPr>
        <w:t>A</w:t>
      </w:r>
      <w:r w:rsidRPr="005027FB">
        <w:rPr>
          <w:rStyle w:val="titulo1"/>
          <w:b w:val="0"/>
          <w:i/>
          <w:sz w:val="24"/>
          <w:szCs w:val="24"/>
          <w:lang w:val="es-ES"/>
        </w:rPr>
        <w:t>cerca de los procesos de interculturalidad: niños de origen mazahua en una escuela pública en la ciudad de México</w:t>
      </w:r>
      <w:r w:rsidRPr="005027FB">
        <w:rPr>
          <w:rStyle w:val="titulo1"/>
          <w:b w:val="0"/>
          <w:sz w:val="24"/>
          <w:szCs w:val="24"/>
          <w:lang w:val="es-ES"/>
        </w:rPr>
        <w:t>. Tesis de Maestría. DIE, México.</w:t>
      </w:r>
    </w:p>
    <w:p w:rsidR="00CE09D0" w:rsidRPr="005027FB" w:rsidRDefault="00CE09D0" w:rsidP="00F364E5">
      <w:pPr>
        <w:jc w:val="both"/>
        <w:rPr>
          <w:lang w:val="es-ES"/>
        </w:rPr>
      </w:pPr>
      <w:r w:rsidRPr="005027FB">
        <w:rPr>
          <w:lang w:val="es-ES"/>
        </w:rPr>
        <w:t xml:space="preserve">Edwards, Verónica (1994). “Las formas del conocimiento en el aula”. En Rockwell, E. (coord.) </w:t>
      </w:r>
      <w:r w:rsidRPr="005027FB">
        <w:rPr>
          <w:i/>
          <w:lang w:val="es-ES"/>
        </w:rPr>
        <w:t>La escuela cotidiana</w:t>
      </w:r>
      <w:r w:rsidRPr="005027FB">
        <w:rPr>
          <w:lang w:val="es-ES"/>
        </w:rPr>
        <w:t>. México. FCE.</w:t>
      </w:r>
    </w:p>
    <w:p w:rsidR="00CE09D0" w:rsidRPr="005027FB" w:rsidRDefault="00CE09D0" w:rsidP="00700A31">
      <w:pPr>
        <w:widowControl w:val="0"/>
        <w:jc w:val="both"/>
        <w:outlineLvl w:val="0"/>
        <w:rPr>
          <w:rFonts w:eastAsia="Batang" w:cs="Tahoma"/>
          <w:szCs w:val="28"/>
        </w:rPr>
      </w:pPr>
      <w:r w:rsidRPr="005027FB">
        <w:t>Molina, Guadalupe: (</w:t>
      </w:r>
      <w:r w:rsidRPr="005027FB">
        <w:rPr>
          <w:rFonts w:eastAsia="Batang" w:cs="Tahoma"/>
          <w:szCs w:val="28"/>
        </w:rPr>
        <w:t>2008)</w:t>
      </w:r>
      <w:r w:rsidRPr="005027FB">
        <w:rPr>
          <w:rFonts w:eastAsia="Batang" w:cs="Tahoma"/>
          <w:i/>
          <w:szCs w:val="28"/>
        </w:rPr>
        <w:t xml:space="preserve"> “Me quiere… mucho, poquito, nada…”  Construcciones socioafectivas entre estudiantes de escuela secundaria.</w:t>
      </w:r>
      <w:r w:rsidRPr="005027FB">
        <w:rPr>
          <w:rFonts w:eastAsia="Batang" w:cs="Tahoma"/>
          <w:szCs w:val="28"/>
        </w:rPr>
        <w:t xml:space="preserve"> Tesis de Maestría. CEA-UNC. Córdoba.</w:t>
      </w:r>
    </w:p>
    <w:p w:rsidR="00CE09D0" w:rsidRPr="005027FB" w:rsidRDefault="00CE09D0" w:rsidP="00700A31">
      <w:pPr>
        <w:widowControl w:val="0"/>
        <w:jc w:val="both"/>
        <w:outlineLvl w:val="0"/>
        <w:rPr>
          <w:rFonts w:eastAsia="Batang" w:cs="Tahoma"/>
          <w:szCs w:val="28"/>
        </w:rPr>
      </w:pPr>
      <w:r w:rsidRPr="005027FB">
        <w:rPr>
          <w:lang w:val="es-ES"/>
        </w:rPr>
        <w:t xml:space="preserve">Rockwell, Elsie. (1995) “De huellas, bardas y veredas: una historia cotidiana en la escuela” en Rockwell, E. (coord.) </w:t>
      </w:r>
      <w:r w:rsidRPr="005027FB">
        <w:rPr>
          <w:i/>
          <w:lang w:val="es-ES"/>
        </w:rPr>
        <w:t>La escuela cotidiana</w:t>
      </w:r>
      <w:r w:rsidRPr="005027FB">
        <w:rPr>
          <w:lang w:val="es-ES"/>
        </w:rPr>
        <w:t>. México. FCE.</w:t>
      </w:r>
    </w:p>
    <w:p w:rsidR="00CE09D0" w:rsidRPr="005027FB" w:rsidRDefault="00CE09D0" w:rsidP="00F364E5">
      <w:pPr>
        <w:jc w:val="both"/>
      </w:pPr>
      <w:r w:rsidRPr="005027FB">
        <w:t xml:space="preserve">Willis, Paul (1988) “Elementos de una cultura”. En </w:t>
      </w:r>
      <w:r w:rsidRPr="005027FB">
        <w:rPr>
          <w:i/>
        </w:rPr>
        <w:t>Aprendiendo a trabajar. Cómo los chicos de la clase obrera consiguen trabajos de clase obrera</w:t>
      </w:r>
      <w:r w:rsidRPr="005027FB">
        <w:t xml:space="preserve">. España Akal. </w:t>
      </w:r>
    </w:p>
    <w:p w:rsidR="00CE09D0" w:rsidRPr="005027FB" w:rsidRDefault="00CE09D0" w:rsidP="00F364E5">
      <w:pPr>
        <w:jc w:val="both"/>
      </w:pPr>
    </w:p>
    <w:p w:rsidR="00CE09D0" w:rsidRPr="00551C5B" w:rsidRDefault="00CE09D0" w:rsidP="009470E1">
      <w:pPr>
        <w:spacing w:after="120"/>
        <w:jc w:val="both"/>
      </w:pPr>
    </w:p>
    <w:sectPr w:rsidR="00CE09D0" w:rsidRPr="00551C5B" w:rsidSect="00A92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721 Lt BT">
    <w:altName w:val="Trebuchet MS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E"/>
    <w:multiLevelType w:val="hybridMultilevel"/>
    <w:tmpl w:val="2B92FC3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C694224"/>
    <w:multiLevelType w:val="hybridMultilevel"/>
    <w:tmpl w:val="3ED49FF8"/>
    <w:lvl w:ilvl="0" w:tplc="A7608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hAnsi="Swis721 Lt BT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57E3B"/>
    <w:multiLevelType w:val="multilevel"/>
    <w:tmpl w:val="FBF0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96E39"/>
    <w:multiLevelType w:val="multilevel"/>
    <w:tmpl w:val="FC5C22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D3989"/>
    <w:multiLevelType w:val="hybridMultilevel"/>
    <w:tmpl w:val="5EAECC1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E01F85"/>
    <w:multiLevelType w:val="hybridMultilevel"/>
    <w:tmpl w:val="F83A5C16"/>
    <w:lvl w:ilvl="0" w:tplc="A7608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hAnsi="Swis721 Lt BT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D08D5"/>
    <w:multiLevelType w:val="multilevel"/>
    <w:tmpl w:val="F0C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060E2"/>
    <w:multiLevelType w:val="hybridMultilevel"/>
    <w:tmpl w:val="F69E9E50"/>
    <w:lvl w:ilvl="0" w:tplc="76668F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F7509"/>
    <w:multiLevelType w:val="hybridMultilevel"/>
    <w:tmpl w:val="69F413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D10D8"/>
    <w:multiLevelType w:val="hybridMultilevel"/>
    <w:tmpl w:val="0256FBA4"/>
    <w:lvl w:ilvl="0" w:tplc="A7608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hAnsi="Swis721 Lt BT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B7E7B"/>
    <w:multiLevelType w:val="hybridMultilevel"/>
    <w:tmpl w:val="FC5C2244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80040"/>
    <w:multiLevelType w:val="hybridMultilevel"/>
    <w:tmpl w:val="A602447C"/>
    <w:lvl w:ilvl="0" w:tplc="625AAA9C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cs="Times New Roman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09628A"/>
    <w:multiLevelType w:val="hybridMultilevel"/>
    <w:tmpl w:val="0324B75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3B758D"/>
    <w:multiLevelType w:val="hybridMultilevel"/>
    <w:tmpl w:val="F0C0BCB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625BC"/>
    <w:multiLevelType w:val="hybridMultilevel"/>
    <w:tmpl w:val="A03A3B8A"/>
    <w:lvl w:ilvl="0" w:tplc="A7608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hAnsi="Swis721 Lt BT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17CA7"/>
    <w:multiLevelType w:val="hybridMultilevel"/>
    <w:tmpl w:val="D5EA08F0"/>
    <w:lvl w:ilvl="0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0A30F04"/>
    <w:multiLevelType w:val="multilevel"/>
    <w:tmpl w:val="5EAE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A07642"/>
    <w:multiLevelType w:val="hybridMultilevel"/>
    <w:tmpl w:val="15EA0984"/>
    <w:lvl w:ilvl="0" w:tplc="A7608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hAnsi="Swis721 Lt BT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6"/>
  </w:num>
  <w:num w:numId="7">
    <w:abstractNumId w:val="17"/>
  </w:num>
  <w:num w:numId="8">
    <w:abstractNumId w:val="5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6BE"/>
    <w:rsid w:val="000459F3"/>
    <w:rsid w:val="000573FA"/>
    <w:rsid w:val="00097710"/>
    <w:rsid w:val="000A26CD"/>
    <w:rsid w:val="0012712D"/>
    <w:rsid w:val="00145B5C"/>
    <w:rsid w:val="00157C50"/>
    <w:rsid w:val="001757A3"/>
    <w:rsid w:val="001843AA"/>
    <w:rsid w:val="001A0353"/>
    <w:rsid w:val="001C522E"/>
    <w:rsid w:val="00280E6F"/>
    <w:rsid w:val="002A0BEB"/>
    <w:rsid w:val="00374AF7"/>
    <w:rsid w:val="00377919"/>
    <w:rsid w:val="0039398A"/>
    <w:rsid w:val="003A2C15"/>
    <w:rsid w:val="003A3C2B"/>
    <w:rsid w:val="003E7E87"/>
    <w:rsid w:val="00420233"/>
    <w:rsid w:val="004500C2"/>
    <w:rsid w:val="005027FB"/>
    <w:rsid w:val="005150BA"/>
    <w:rsid w:val="00551C5B"/>
    <w:rsid w:val="005974E8"/>
    <w:rsid w:val="005B27CE"/>
    <w:rsid w:val="00637836"/>
    <w:rsid w:val="00651B87"/>
    <w:rsid w:val="006B37C1"/>
    <w:rsid w:val="00700A31"/>
    <w:rsid w:val="00704FC6"/>
    <w:rsid w:val="00707C82"/>
    <w:rsid w:val="007437F1"/>
    <w:rsid w:val="00787379"/>
    <w:rsid w:val="007D6A18"/>
    <w:rsid w:val="007E2BE2"/>
    <w:rsid w:val="007F5A4D"/>
    <w:rsid w:val="00863A94"/>
    <w:rsid w:val="00866E27"/>
    <w:rsid w:val="00867220"/>
    <w:rsid w:val="008756BE"/>
    <w:rsid w:val="008C3EE2"/>
    <w:rsid w:val="008D6468"/>
    <w:rsid w:val="00945C73"/>
    <w:rsid w:val="009470E1"/>
    <w:rsid w:val="00953E50"/>
    <w:rsid w:val="009B42F5"/>
    <w:rsid w:val="00A05F9D"/>
    <w:rsid w:val="00A60656"/>
    <w:rsid w:val="00A924D0"/>
    <w:rsid w:val="00AA7BB3"/>
    <w:rsid w:val="00AE40AC"/>
    <w:rsid w:val="00B268A3"/>
    <w:rsid w:val="00B633C1"/>
    <w:rsid w:val="00B96A89"/>
    <w:rsid w:val="00BA128F"/>
    <w:rsid w:val="00BC399A"/>
    <w:rsid w:val="00BF7756"/>
    <w:rsid w:val="00C3692F"/>
    <w:rsid w:val="00C77B12"/>
    <w:rsid w:val="00CA66BD"/>
    <w:rsid w:val="00CA6F74"/>
    <w:rsid w:val="00CB1FD2"/>
    <w:rsid w:val="00CE09D0"/>
    <w:rsid w:val="00D25226"/>
    <w:rsid w:val="00D85F73"/>
    <w:rsid w:val="00DB62DD"/>
    <w:rsid w:val="00E00BDF"/>
    <w:rsid w:val="00E3003E"/>
    <w:rsid w:val="00E857E3"/>
    <w:rsid w:val="00EB7D78"/>
    <w:rsid w:val="00F0589F"/>
    <w:rsid w:val="00F364E5"/>
    <w:rsid w:val="00FB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D0"/>
    <w:rPr>
      <w:sz w:val="24"/>
      <w:szCs w:val="24"/>
      <w:lang w:val="es-ES_tradnl" w:eastAsia="es-ES_tradnl"/>
    </w:rPr>
  </w:style>
  <w:style w:type="paragraph" w:styleId="Heading3">
    <w:name w:val="heading 3"/>
    <w:basedOn w:val="Normal"/>
    <w:link w:val="Heading3Char"/>
    <w:uiPriority w:val="99"/>
    <w:qFormat/>
    <w:locked/>
    <w:rsid w:val="00D252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40AC"/>
    <w:rPr>
      <w:rFonts w:ascii="Cambria" w:hAnsi="Cambria" w:cs="Times New Roman"/>
      <w:b/>
      <w:bCs/>
      <w:sz w:val="26"/>
      <w:szCs w:val="26"/>
      <w:lang w:val="es-ES_tradnl" w:eastAsia="es-ES_tradnl"/>
    </w:rPr>
  </w:style>
  <w:style w:type="character" w:customStyle="1" w:styleId="titulo1">
    <w:name w:val="titulo1"/>
    <w:basedOn w:val="DefaultParagraphFont"/>
    <w:uiPriority w:val="99"/>
    <w:rsid w:val="00651B87"/>
    <w:rPr>
      <w:rFonts w:cs="Times New Roman"/>
      <w:b/>
      <w:bCs/>
      <w:sz w:val="28"/>
      <w:szCs w:val="28"/>
    </w:rPr>
  </w:style>
  <w:style w:type="character" w:customStyle="1" w:styleId="autornom1">
    <w:name w:val="autornom1"/>
    <w:basedOn w:val="DefaultParagraphFont"/>
    <w:uiPriority w:val="99"/>
    <w:rsid w:val="00651B87"/>
    <w:rPr>
      <w:rFonts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51B87"/>
    <w:pPr>
      <w:jc w:val="both"/>
    </w:pPr>
    <w:rPr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40AC"/>
    <w:rPr>
      <w:rFonts w:cs="Times New Roman"/>
      <w:sz w:val="24"/>
      <w:szCs w:val="24"/>
      <w:lang w:val="es-ES_tradnl" w:eastAsia="es-ES_tradnl"/>
    </w:rPr>
  </w:style>
  <w:style w:type="paragraph" w:styleId="DocumentMap">
    <w:name w:val="Document Map"/>
    <w:basedOn w:val="Normal"/>
    <w:link w:val="DocumentMapChar"/>
    <w:uiPriority w:val="99"/>
    <w:rsid w:val="00651B8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51B87"/>
    <w:rPr>
      <w:rFonts w:ascii="Lucida Grande" w:hAnsi="Lucida Grande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692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25226"/>
    <w:rPr>
      <w:rFonts w:cs="Times New Roman"/>
    </w:rPr>
  </w:style>
  <w:style w:type="character" w:styleId="HTMLCite">
    <w:name w:val="HTML Cite"/>
    <w:basedOn w:val="DefaultParagraphFont"/>
    <w:uiPriority w:val="99"/>
    <w:rsid w:val="00D2522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105">
          <w:marLeft w:val="35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103">
          <w:marLeft w:val="35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mtep.uy/...y.../234_30500d532f18b26d1cb2cef1db471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alyc.org/pdf/1690/169013838012.pdf" TargetMode="External"/><Relationship Id="rId5" Type="http://schemas.openxmlformats.org/officeDocument/2006/relationships/hyperlink" Target="http://www.comie.org.mx/v1/revista/visualizador.php?articulo=ART00051&amp;criterio=http://www.comie.org.mx/documentos/rmie/v11/n29/pdf/rmiev11n29scB02n03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1414</Words>
  <Characters>7778</Characters>
  <Application>Microsoft Office Outlook</Application>
  <DocSecurity>0</DocSecurity>
  <Lines>0</Lines>
  <Paragraphs>0</Paragraphs>
  <ScaleCrop>false</ScaleCrop>
  <Company>The houze!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Etnografía en el aula</dc:title>
  <dc:subject/>
  <dc:creator>WinuE</dc:creator>
  <cp:keywords/>
  <dc:description/>
  <cp:lastModifiedBy>WinuE</cp:lastModifiedBy>
  <cp:revision>11</cp:revision>
  <dcterms:created xsi:type="dcterms:W3CDTF">2016-05-18T20:47:00Z</dcterms:created>
  <dcterms:modified xsi:type="dcterms:W3CDTF">2016-05-19T19:43:00Z</dcterms:modified>
</cp:coreProperties>
</file>